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E43F" w14:textId="77777777" w:rsidR="004C3E88" w:rsidRPr="00F23235" w:rsidRDefault="001E17F0" w:rsidP="00F23235">
      <w:pPr>
        <w:pStyle w:val="Szvegtrzs1"/>
        <w:spacing w:after="0"/>
        <w:jc w:val="center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b/>
          <w:bCs/>
          <w:u w:val="single"/>
        </w:rPr>
        <w:t>A bírósági ülnökök jogai és kötelezettségei</w:t>
      </w:r>
    </w:p>
    <w:p w14:paraId="39B9D0CF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Magyarország Alaptörvénye ​</w:t>
      </w:r>
    </w:p>
    <w:p w14:paraId="1E1D8FC7" w14:textId="6556459F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27. cikk ​</w:t>
      </w:r>
    </w:p>
    <w:p w14:paraId="77A9FB82" w14:textId="6F2181C0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(2) Törvény által meghatározott ügyekben és módon nem hivatásos bírák is részt vesznek az ítélkezésben.</w:t>
      </w:r>
    </w:p>
    <w:p w14:paraId="7C5C18E2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33F2EBDE" w14:textId="2D2DAD46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2017. évi XC. törvény a büntetőeljárásról </w:t>
      </w:r>
    </w:p>
    <w:p w14:paraId="4735311C" w14:textId="2D0924A3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680. § (2) </w:t>
      </w:r>
      <w:r w:rsidRPr="00F23235">
        <w:rPr>
          <w:rStyle w:val="Szvegtrzs"/>
          <w:rFonts w:ascii="Calibri" w:hAnsi="Calibri" w:cs="Calibri"/>
          <w:highlight w:val="yellow"/>
        </w:rPr>
        <w:t>A fiatalkorú elleni büntetőeljárásban</w:t>
      </w:r>
      <w:r w:rsidRPr="00F23235">
        <w:rPr>
          <w:rStyle w:val="Szvegtrzs"/>
          <w:rFonts w:ascii="Calibri" w:hAnsi="Calibri" w:cs="Calibri"/>
        </w:rPr>
        <w:t xml:space="preserve"> az elsőfokú bíróság tanácsa egy hivatásos bíróból és két ülnökből áll.</w:t>
      </w:r>
    </w:p>
    <w:p w14:paraId="5EA9E9D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(5) A fiatalkorú elleni büntetőeljárásban ülnökként kizárólag</w:t>
      </w:r>
    </w:p>
    <w:p w14:paraId="377DDCAA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a) pedagógus,</w:t>
      </w:r>
    </w:p>
    <w:p w14:paraId="728738A0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b) pszichológus, vagy</w:t>
      </w:r>
    </w:p>
    <w:p w14:paraId="48944E4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c) a család-, gyermek- és ifjúságvédelmi szolgáltatás, gyámügyi igazgatás keretében az ellátottak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</w:t>
      </w:r>
    </w:p>
    <w:p w14:paraId="7C8BF93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vehet részt.</w:t>
      </w:r>
    </w:p>
    <w:p w14:paraId="2E1F6938" w14:textId="20E5BE9B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(6) Az ítélkezés során a hivatásos bíró és az ülnök jogai és kötelességei azonosak. A bíró kizárására vonatkozó rendelkezések az ülnökre is irányadók.</w:t>
      </w:r>
    </w:p>
    <w:p w14:paraId="57954F17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7A24097D" w14:textId="174037D3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2016. évi CXXX. törvény a polgári perrendtartásról</w:t>
      </w:r>
    </w:p>
    <w:p w14:paraId="538CF0CD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510. § [A munkaügyi perben eljáró bíróságok összetétele] ​ ​ </w:t>
      </w:r>
    </w:p>
    <w:p w14:paraId="4C882AD1" w14:textId="60FED3FE" w:rsidR="00834E6A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highlight w:val="yellow"/>
        </w:rPr>
        <w:t>Munkaügyi perben</w:t>
      </w:r>
      <w:r w:rsidRPr="00F23235">
        <w:rPr>
          <w:rStyle w:val="Szvegtrzs"/>
          <w:rFonts w:ascii="Calibri" w:hAnsi="Calibri" w:cs="Calibri"/>
        </w:rPr>
        <w:t xml:space="preserve"> az elsőfokú bíróság – törvény eltérő rendelkezése hiányában – ülnökök közreműködésével jár el.</w:t>
      </w:r>
    </w:p>
    <w:p w14:paraId="1C223D6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2A68FB1A" w14:textId="77777777" w:rsidR="00F23235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highlight w:val="yellow"/>
        </w:rPr>
        <w:t>Az ülnökökre vonatkozó legfontosabb rendelkezéseket a bíróságok szervezetéről és igazgatásáról szóló 2011. évi CLXI. törvény (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Bszi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>.) és a bírák jogállásáról és javadalmazásáról szóló 2011. évi CLXII. törvény (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Bjt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>.) tartalmazza.</w:t>
      </w:r>
    </w:p>
    <w:p w14:paraId="6AB30DD0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6BBC44B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>A bírósági tárgyalások során az ítélkezésben az ülnökök a tárgyalást vezető hivatásos bíróval azonos jogokkal bírnak, és azonos kötelezettségek terhelik őket. Az ülnökök – akárcsak a hivatásos bírák – függetlenek, ítélkezési tevékenységük során nem befolyásolhatóak és nem adható számukra utasítás sem. Döntésüket a jogszabályok figyelembevételével saját belső meggyőződésük alapján hozzák meg.</w:t>
      </w:r>
    </w:p>
    <w:p w14:paraId="0C6643D2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>A bíróság, ha tanácsban jár el, határozatát szavazással hozza meg. A szavazás előtt az ülnökök az eljárást vezető bírótól felvilágosítást kapnak a döntéshez szükséges jogszabályokról, arról, hogy milyen határozat hozható az ügyben, büntetőügyekben pedig tájékoztatást kapnak arról, hogy milyen büntetések és intézkedések szabhatók ki.</w:t>
      </w:r>
    </w:p>
    <w:p w14:paraId="0AABC450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4178266A" w14:textId="468F8345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Ülnöknek az a 30. évét betöltött magyar állampolgár választható meg, aki nem áll a cselekvőképeséget érintő gondnokság vagy támogatott döntéshozatal hatálya alatt, továbbá büntetlen előéletű és nem áll közügyektől eltiltás hatálya alatt sem.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</w:t>
      </w:r>
    </w:p>
    <w:p w14:paraId="2DB87F13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39668494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ülnököknek az ítélkezésben a hivatásos </w:t>
      </w:r>
      <w:proofErr w:type="spellStart"/>
      <w:r w:rsidRPr="00F23235">
        <w:rPr>
          <w:rStyle w:val="Szvegtrzs"/>
          <w:rFonts w:ascii="Calibri" w:hAnsi="Calibri" w:cs="Calibri"/>
        </w:rPr>
        <w:t>bírákkal</w:t>
      </w:r>
      <w:proofErr w:type="spellEnd"/>
      <w:r w:rsidRPr="00F23235">
        <w:rPr>
          <w:rStyle w:val="Szvegtrzs"/>
          <w:rFonts w:ascii="Calibri" w:hAnsi="Calibri" w:cs="Calibri"/>
        </w:rPr>
        <w:t xml:space="preserve"> azonos jogaik és kötelezettségeik vannak.</w:t>
      </w:r>
    </w:p>
    <w:p w14:paraId="2CF8F3F7" w14:textId="6DD9FAA9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megbízatása </w:t>
      </w:r>
      <w:r w:rsidR="00F23235">
        <w:rPr>
          <w:rStyle w:val="Szvegtrzs"/>
          <w:rFonts w:ascii="Calibri" w:hAnsi="Calibri" w:cs="Calibri"/>
        </w:rPr>
        <w:t xml:space="preserve">az általános választást követő </w:t>
      </w:r>
      <w:r w:rsidRPr="00F23235">
        <w:rPr>
          <w:rStyle w:val="Szvegtrzs"/>
          <w:rFonts w:ascii="Calibri" w:hAnsi="Calibri" w:cs="Calibri"/>
        </w:rPr>
        <w:t>4 évre szól.</w:t>
      </w:r>
    </w:p>
    <w:p w14:paraId="65B4082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a megbízatásuk időtartama alatt nem lehetnek tagjai pártnak és politikai tevékenységet sem </w:t>
      </w:r>
      <w:r w:rsidRPr="00F23235">
        <w:rPr>
          <w:rStyle w:val="Szvegtrzs"/>
          <w:rFonts w:ascii="Calibri" w:hAnsi="Calibri" w:cs="Calibri"/>
        </w:rPr>
        <w:lastRenderedPageBreak/>
        <w:t>folytathatnak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(3)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.). Az országgyűlési képviselői megbízatás, az önkormányzati képviselő-testületi tagság politikai tevékenységnek tekintendő. Nem politikai tevékenység a munkavállalói – szakmai, érdekvédelmi – szervezetben való részvétel.</w:t>
      </w:r>
    </w:p>
    <w:p w14:paraId="46AA57BA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az igazságszolgáltatásban való részvételével összefüggő cselekménye tekintetében mentelmi jog illeti meg. A mentesség terjedelmére és az ülnök mentelmi jogának felfüggesztésére vonatkozó szabályokat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2. § (4) és (5) bekezdése tartalmazza.</w:t>
      </w:r>
    </w:p>
    <w:p w14:paraId="21C46D07" w14:textId="77777777" w:rsidR="00D15192" w:rsidRPr="00F23235" w:rsidRDefault="00D15192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0FF448F3" w14:textId="77777777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megválasztott ülnököknek bírói esküt kell tennie.</w:t>
      </w:r>
    </w:p>
    <w:p w14:paraId="3B2B3C71" w14:textId="77777777" w:rsidR="001E17F0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99F459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 bíróság elnöke hívja be és osztja be az ítélkező tanácsba. E tisztsége gyakorlásának idejére az ülnököt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rendelkezései szerint távolléti díj, illetőleg tiszteletdíj illeti meg, amelyet a bíróságok költségvetésükből térítenek meg.</w:t>
      </w:r>
    </w:p>
    <w:p w14:paraId="5E3E0F0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foglaltak szerint a munkaviszonyban, kormányzati szolgálati, állami szolgálati, közszolgálati, egészségügyi szolgálati vagy közalkalmazotti jogviszonyban, adó- és vámhatósági szolgálati jogviszonyban, rendvédelmi igazgatási szolgálati jogviszonyban, honvédelmi alkalmazotti jogviszonyban, a rendvédelmi feladatokat ellátó szervek hivatásos állományának szolgálati jogviszonyáról szóló törvény szerinti rendvédelmi feladatokat ellátó szerveknél és a Magyar Honvédségnél szolgálati viszonyban, vagy foglalkoztatásra irányuló más jogviszonyban (szövetkezetnél munkaviszony jellegű jogviszonyban stb.) álló ülnököt ülnöki működésének időtartamára a távolléti díja illeti meg.</w:t>
      </w:r>
    </w:p>
    <w:p w14:paraId="0DD3FAA2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meghatározott jogviszonyokban nem álló, vagy az ülnöki működése idejére munkabérben (díjazásban) nem részesülő ülnököt tiszteletdíj illeti meg. A tiszteletdíj mértéke az ülnök működésének minden napjára a bírói illetményalap (566.660 Ft) egy munkanapra eső összegének a 25 százaléka.</w:t>
      </w:r>
    </w:p>
    <w:p w14:paraId="1842BFF8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221. § (5) bekezdése szerint az ülnök a hivatalos kiküldetésével járó költségeket a </w:t>
      </w:r>
      <w:proofErr w:type="spellStart"/>
      <w:r w:rsidRPr="00F23235">
        <w:rPr>
          <w:rStyle w:val="Szvegtrzs"/>
          <w:rFonts w:ascii="Calibri" w:hAnsi="Calibri" w:cs="Calibri"/>
        </w:rPr>
        <w:t>bírákra</w:t>
      </w:r>
      <w:proofErr w:type="spellEnd"/>
      <w:r w:rsidRPr="00F23235">
        <w:rPr>
          <w:rStyle w:val="Szvegtrzs"/>
          <w:rFonts w:ascii="Calibri" w:hAnsi="Calibri" w:cs="Calibri"/>
        </w:rPr>
        <w:t xml:space="preserve"> irányadó rendelkezések megfelelő alkalmazásával számolhatja el.</w:t>
      </w:r>
    </w:p>
    <w:p w14:paraId="53CB3986" w14:textId="77777777" w:rsidR="004C3E88" w:rsidRPr="001E17F0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Joga az ülnöknek, hogy a behívásáról legalább egy hónappal korábban értesüljön, illetve, hogy kérésére, </w:t>
      </w:r>
      <w:r w:rsidRPr="001E17F0">
        <w:rPr>
          <w:rStyle w:val="Szvegtrzs"/>
          <w:rFonts w:ascii="Calibri" w:hAnsi="Calibri" w:cs="Calibri"/>
        </w:rPr>
        <w:t>fontos okból a bíróság elnöke elhalaszthassa a működése megkezdésének időpontját.</w:t>
      </w:r>
    </w:p>
    <w:p w14:paraId="366ABEDE" w14:textId="77777777" w:rsidR="004C3E88" w:rsidRPr="001E17F0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ítélkező tanácshoz beosztott ülnök joga, hogy a tárgyalandó ügyek tény- és joganyagát megismerhesse, arról őt az ítélkező tanács elnöke tájékoztassa.</w:t>
      </w:r>
    </w:p>
    <w:p w14:paraId="382927C9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ítélet meghozatalát megelőző zárt tanácskozással kapcsolatos tanácskozási titok megőrzése az ülnök számára is kötelező. Ez vonatkozik a szolgálati, illetve az államtitokra is.</w:t>
      </w:r>
    </w:p>
    <w:p w14:paraId="026ADD79" w14:textId="77777777" w:rsidR="001E17F0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1DE81B65" w14:textId="77777777" w:rsidR="004C3E88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megbízatása megszűnik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220.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.):</w:t>
      </w:r>
    </w:p>
    <w:p w14:paraId="6C6FAF35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halálával,</w:t>
      </w:r>
    </w:p>
    <w:p w14:paraId="13A162F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7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megbízatásának lejártával,</w:t>
      </w:r>
    </w:p>
    <w:p w14:paraId="315E67FC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33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212. § (1) bekezdésében foglalt feltételek valamelyike már nem áll fenn,</w:t>
      </w:r>
    </w:p>
    <w:p w14:paraId="0DC8089D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6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70. év betöltésével,</w:t>
      </w:r>
    </w:p>
    <w:p w14:paraId="4DFF2F40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lemondással (képviselő-testülethez intézett írásbeli nyilatkozatával),</w:t>
      </w:r>
    </w:p>
    <w:p w14:paraId="51C4774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09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219. § (4) bekezdésében meghatározott esetben az ülnököt megválasztó képviselő</w:t>
      </w:r>
      <w:r w:rsidRPr="00F23235">
        <w:rPr>
          <w:rStyle w:val="Szvegtrzs"/>
          <w:rFonts w:ascii="Calibri" w:hAnsi="Calibri" w:cs="Calibri"/>
        </w:rPr>
        <w:softHyphen/>
        <w:t>testület az ülnököt visszahívja.</w:t>
      </w:r>
    </w:p>
    <w:sectPr w:rsidR="004C3E88" w:rsidRPr="00F23235" w:rsidSect="00D15192">
      <w:pgSz w:w="11900" w:h="16840"/>
      <w:pgMar w:top="1134" w:right="1383" w:bottom="1134" w:left="1366" w:header="1021" w:footer="1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91A2" w14:textId="77777777" w:rsidR="00E1039D" w:rsidRDefault="00E1039D">
      <w:r>
        <w:separator/>
      </w:r>
    </w:p>
  </w:endnote>
  <w:endnote w:type="continuationSeparator" w:id="0">
    <w:p w14:paraId="49448DAB" w14:textId="77777777" w:rsidR="00E1039D" w:rsidRDefault="00E1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65F" w14:textId="77777777" w:rsidR="00E1039D" w:rsidRDefault="00E1039D"/>
  </w:footnote>
  <w:footnote w:type="continuationSeparator" w:id="0">
    <w:p w14:paraId="24D6995F" w14:textId="77777777" w:rsidR="00E1039D" w:rsidRDefault="00E10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40520"/>
    <w:multiLevelType w:val="multilevel"/>
    <w:tmpl w:val="84E6E44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E3482"/>
    <w:multiLevelType w:val="multilevel"/>
    <w:tmpl w:val="47E81E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94466">
    <w:abstractNumId w:val="0"/>
  </w:num>
  <w:num w:numId="2" w16cid:durableId="19999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88"/>
    <w:rsid w:val="001E17F0"/>
    <w:rsid w:val="004C3E88"/>
    <w:rsid w:val="00726FA2"/>
    <w:rsid w:val="007772EB"/>
    <w:rsid w:val="00834E6A"/>
    <w:rsid w:val="00CA4041"/>
    <w:rsid w:val="00D15192"/>
    <w:rsid w:val="00D55D08"/>
    <w:rsid w:val="00E1039D"/>
    <w:rsid w:val="00F2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994"/>
  <w15:docId w15:val="{7F030103-49AE-4EFE-98F9-74E2537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pacing w:after="280" w:line="28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Antal Dr. [OBH]</dc:creator>
  <cp:keywords/>
  <cp:lastModifiedBy>Éberhardt Krisztina</cp:lastModifiedBy>
  <cp:revision>2</cp:revision>
  <dcterms:created xsi:type="dcterms:W3CDTF">2026-04-16T08:23:00Z</dcterms:created>
  <dcterms:modified xsi:type="dcterms:W3CDTF">2026-04-16T08:23:00Z</dcterms:modified>
</cp:coreProperties>
</file>